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D04BA27" w:rsidR="00333FAA" w:rsidRPr="005E3A10" w:rsidRDefault="00847E4A" w:rsidP="00A53B04">
            <w:pPr>
              <w:rPr>
                <w:rFonts w:cs="Arial"/>
                <w:szCs w:val="24"/>
              </w:rPr>
            </w:pPr>
            <w:r>
              <w:rPr>
                <w:rFonts w:cs="Arial"/>
                <w:szCs w:val="24"/>
              </w:rPr>
              <w:t>17 December 2020</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1D9235F8" w:rsidR="00333FAA" w:rsidRPr="005E3A10" w:rsidRDefault="00847E4A" w:rsidP="00A53B04">
            <w:pPr>
              <w:rPr>
                <w:rFonts w:cs="Arial"/>
                <w:szCs w:val="24"/>
              </w:rPr>
            </w:pPr>
            <w:r>
              <w:rPr>
                <w:rFonts w:cs="Arial"/>
                <w:szCs w:val="24"/>
              </w:rPr>
              <w:t xml:space="preserve">Byron Hall </w:t>
            </w:r>
            <w:r w:rsidR="005E3B09">
              <w:rPr>
                <w:rFonts w:cs="Arial"/>
                <w:szCs w:val="24"/>
              </w:rPr>
              <w:t xml:space="preserve">Covid-19 </w:t>
            </w:r>
            <w:r>
              <w:rPr>
                <w:rFonts w:cs="Arial"/>
                <w:szCs w:val="24"/>
              </w:rPr>
              <w:t>Vaccination Site</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803D0DE"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847E4A">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774EFE5" w:rsidR="001C7E35" w:rsidRPr="005E3A10" w:rsidRDefault="00847E4A" w:rsidP="00D835CF">
            <w:pPr>
              <w:pStyle w:val="Infotext"/>
              <w:rPr>
                <w:rFonts w:cs="Arial"/>
                <w:sz w:val="24"/>
                <w:szCs w:val="24"/>
              </w:rPr>
            </w:pPr>
            <w:r>
              <w:rPr>
                <w:rFonts w:cs="Arial"/>
                <w:sz w:val="24"/>
                <w:szCs w:val="24"/>
              </w:rPr>
              <w:t>Paul Walker – Corporate Director</w:t>
            </w:r>
            <w:r w:rsidR="000A3D87">
              <w:rPr>
                <w:rFonts w:cs="Arial"/>
                <w:sz w:val="24"/>
                <w:szCs w:val="24"/>
              </w:rPr>
              <w:t xml:space="preserve">, </w:t>
            </w:r>
            <w:r>
              <w:rPr>
                <w:rFonts w:cs="Arial"/>
                <w:sz w:val="24"/>
                <w:szCs w:val="24"/>
              </w:rPr>
              <w:t>Community</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CAE0369" w14:textId="528717E5" w:rsidR="001C7E35" w:rsidRDefault="006E6B36" w:rsidP="006E6B36">
            <w:pPr>
              <w:pStyle w:val="Infotext"/>
              <w:rPr>
                <w:rFonts w:cs="Arial"/>
                <w:sz w:val="24"/>
                <w:szCs w:val="24"/>
              </w:rPr>
            </w:pPr>
            <w:r w:rsidRPr="006E6B36">
              <w:rPr>
                <w:rFonts w:cs="Arial"/>
                <w:sz w:val="24"/>
                <w:szCs w:val="24"/>
              </w:rPr>
              <w:t>Councillor Keith Ferry</w:t>
            </w:r>
            <w:r w:rsidR="000A3D87">
              <w:rPr>
                <w:rFonts w:cs="Arial"/>
                <w:sz w:val="24"/>
                <w:szCs w:val="24"/>
              </w:rPr>
              <w:t xml:space="preserve"> - </w:t>
            </w:r>
            <w:r w:rsidRPr="006E6B36">
              <w:rPr>
                <w:rFonts w:cs="Arial"/>
                <w:sz w:val="24"/>
                <w:szCs w:val="24"/>
              </w:rPr>
              <w:t>Deputy Leader and Portfolio Holder for Regeneration, Planning and Employment</w:t>
            </w:r>
          </w:p>
          <w:p w14:paraId="39A9A01A" w14:textId="0A7885B4" w:rsidR="006E6B36" w:rsidRPr="005E3A10" w:rsidRDefault="006E6B36" w:rsidP="006E6B36">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665272A1" w14:textId="7606988A" w:rsidR="00B273A8" w:rsidRDefault="001C7E35" w:rsidP="00B273A8">
            <w:pPr>
              <w:pStyle w:val="Infotext"/>
              <w:rPr>
                <w:rFonts w:cs="Arial"/>
                <w:sz w:val="24"/>
                <w:szCs w:val="24"/>
              </w:rPr>
            </w:pPr>
            <w:r w:rsidRPr="005E3A10">
              <w:rPr>
                <w:rFonts w:cs="Arial"/>
                <w:sz w:val="24"/>
                <w:szCs w:val="24"/>
              </w:rPr>
              <w:t xml:space="preserve">Yes </w:t>
            </w:r>
            <w:r w:rsidR="000A3D87">
              <w:rPr>
                <w:rFonts w:cs="Arial"/>
                <w:sz w:val="24"/>
                <w:szCs w:val="24"/>
              </w:rPr>
              <w:t>- t</w:t>
            </w:r>
            <w:r w:rsidR="00B273A8">
              <w:rPr>
                <w:rFonts w:cs="Arial"/>
                <w:sz w:val="24"/>
                <w:szCs w:val="24"/>
              </w:rPr>
              <w:t xml:space="preserve">he appendix </w:t>
            </w:r>
            <w:r w:rsidR="000A3D87">
              <w:rPr>
                <w:rFonts w:cs="Arial"/>
                <w:sz w:val="24"/>
                <w:szCs w:val="24"/>
              </w:rPr>
              <w:t>to</w:t>
            </w:r>
            <w:r w:rsidR="00B273A8">
              <w:rPr>
                <w:rFonts w:cs="Arial"/>
                <w:sz w:val="24"/>
                <w:szCs w:val="24"/>
              </w:rPr>
              <w:t xml:space="preserve"> this report is not for publication by virtue of paragraphs 3 and 5 of Part 1 of Schedule 12 A of the Local Government Act 1972 as it contains information relating to the financial or business affairs of any particular person (including the authority holding that information) and information in respect of which a claim to legal professional privilege could be maintained in legal proceedings.</w:t>
            </w:r>
          </w:p>
          <w:p w14:paraId="47D5EFD3" w14:textId="05844FC7" w:rsidR="001C7E35" w:rsidRPr="005E3A10" w:rsidRDefault="001C7E35" w:rsidP="00B273A8">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501C3BFE" w:rsidR="001C7E35" w:rsidRPr="005E3A10" w:rsidRDefault="00B273A8" w:rsidP="00D835CF">
            <w:pPr>
              <w:pStyle w:val="Infotext"/>
              <w:rPr>
                <w:rFonts w:cs="Arial"/>
                <w:sz w:val="24"/>
                <w:szCs w:val="24"/>
              </w:rPr>
            </w:pPr>
            <w:r>
              <w:rPr>
                <w:rFonts w:cs="Arial"/>
                <w:sz w:val="24"/>
                <w:szCs w:val="24"/>
              </w:rPr>
              <w:t>No</w:t>
            </w:r>
          </w:p>
          <w:p w14:paraId="3A75E271" w14:textId="77777777" w:rsidR="00714BEE" w:rsidRPr="005E3A10" w:rsidRDefault="00714BEE" w:rsidP="00457BFE">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5A99F0B8" w:rsidR="001C7E35" w:rsidRDefault="000A3D87" w:rsidP="00D835CF">
            <w:pPr>
              <w:rPr>
                <w:rFonts w:cs="Arial"/>
                <w:szCs w:val="24"/>
              </w:rPr>
            </w:pPr>
            <w:r>
              <w:rPr>
                <w:rFonts w:cs="Arial"/>
                <w:szCs w:val="24"/>
              </w:rPr>
              <w:t>All</w:t>
            </w:r>
          </w:p>
          <w:p w14:paraId="52E38AE7" w14:textId="5EB4A539"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5A466234" w:rsidR="001C7E35" w:rsidRPr="005E3A10" w:rsidRDefault="00D0279D" w:rsidP="00D0279D">
            <w:pPr>
              <w:pStyle w:val="Infotext"/>
              <w:rPr>
                <w:color w:val="FF0000"/>
                <w:sz w:val="24"/>
                <w:szCs w:val="24"/>
              </w:rPr>
            </w:pPr>
            <w:r w:rsidRPr="00D0279D">
              <w:rPr>
                <w:sz w:val="24"/>
                <w:szCs w:val="24"/>
              </w:rPr>
              <w:t>Appendix I</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736BF6AA" w:rsidR="001C7E35" w:rsidRPr="005B6DF5" w:rsidRDefault="001C7E35" w:rsidP="00605A4C">
            <w:r w:rsidRPr="005B6DF5">
              <w:t>This report sets out</w:t>
            </w:r>
            <w:r w:rsidR="00BB2FEE" w:rsidRPr="005B6DF5">
              <w:t xml:space="preserve"> </w:t>
            </w:r>
            <w:r w:rsidR="00FE18EE" w:rsidRPr="005B6DF5">
              <w:t xml:space="preserve">the intention </w:t>
            </w:r>
            <w:r w:rsidR="003D77B2" w:rsidRPr="005B6DF5">
              <w:t>to grant a licence of Byron Hall to a</w:t>
            </w:r>
            <w:r w:rsidR="005D0857">
              <w:t xml:space="preserve"> </w:t>
            </w:r>
            <w:r w:rsidR="00103268">
              <w:t xml:space="preserve">contractual </w:t>
            </w:r>
            <w:r w:rsidR="005D0857">
              <w:t>partner entity of</w:t>
            </w:r>
            <w:r w:rsidR="003D77B2" w:rsidRPr="005B6DF5">
              <w:t xml:space="preserve"> the NHS </w:t>
            </w:r>
            <w:r w:rsidR="0027226C" w:rsidRPr="00103268">
              <w:rPr>
                <w:rFonts w:cs="Arial"/>
              </w:rPr>
              <w:t>to provide treatment of the disease known as (a) coronavirus disease (COVID19), (b) the virus known as severe acute respiratory syndrome coronavirus 2 (SARS-CoV-2) and/or (c) any subsequent or similar strain or mutation of COVID-19 and/or SARSCoV-2</w:t>
            </w:r>
            <w:r w:rsidR="005B6DF5" w:rsidRPr="00103268">
              <w:rPr>
                <w:rFonts w:cs="Arial"/>
              </w:rPr>
              <w:t>.</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47E45CD6" w:rsidR="001C7E35" w:rsidRDefault="001C7E35" w:rsidP="00605A4C">
            <w:r>
              <w:t>Cabinet is requested to:</w:t>
            </w:r>
          </w:p>
          <w:p w14:paraId="1ECA5ACE" w14:textId="540A5B3D" w:rsidR="00D6265C" w:rsidRDefault="00D6265C" w:rsidP="00605A4C"/>
          <w:p w14:paraId="2C5B1B2A" w14:textId="58674BDA" w:rsidR="00D6265C" w:rsidRDefault="00D6265C" w:rsidP="00605A4C">
            <w:r>
              <w:t>1. Note the proposed terms of the licence at Appendix I;</w:t>
            </w:r>
          </w:p>
          <w:p w14:paraId="0DD5CB75" w14:textId="5DEAF223" w:rsidR="00D6265C" w:rsidRDefault="00D6265C" w:rsidP="00605A4C"/>
          <w:p w14:paraId="1A1AD92C" w14:textId="5F2D0BF2" w:rsidR="00591016" w:rsidRPr="00591016" w:rsidRDefault="00D6265C" w:rsidP="002E7CF5">
            <w:pPr>
              <w:rPr>
                <w:color w:val="FF0000"/>
              </w:rPr>
            </w:pPr>
            <w:r>
              <w:t>2. Delegate authority to the Corporate Director</w:t>
            </w:r>
            <w:r w:rsidR="000A3D87">
              <w:t xml:space="preserve">, </w:t>
            </w:r>
            <w:r>
              <w:t>Community</w:t>
            </w:r>
            <w:r w:rsidR="000A3D87">
              <w:t>, following consultation with the Deputy Leader</w:t>
            </w:r>
            <w:r w:rsidR="007754AC">
              <w:t xml:space="preserve"> and </w:t>
            </w:r>
            <w:r w:rsidR="007754AC" w:rsidRPr="006E6B36">
              <w:rPr>
                <w:rFonts w:cs="Arial"/>
                <w:szCs w:val="24"/>
              </w:rPr>
              <w:t>Portfolio Holder for Regeneration, Planning and Employment</w:t>
            </w:r>
            <w:r w:rsidR="000A3D87">
              <w:t>,</w:t>
            </w:r>
            <w:r w:rsidR="00A81BE3">
              <w:t xml:space="preserve"> to approve the final terms of the transaction and enter into the legal documentation</w:t>
            </w:r>
            <w:r w:rsidR="002E7CF5">
              <w:t>.</w:t>
            </w:r>
          </w:p>
          <w:p w14:paraId="130A1D51" w14:textId="77777777" w:rsidR="00591016" w:rsidRDefault="00591016" w:rsidP="00605A4C"/>
          <w:p w14:paraId="1B7CFB3E" w14:textId="77777777" w:rsidR="000A3D87" w:rsidRDefault="00E13BEF" w:rsidP="00E13BEF">
            <w:pPr>
              <w:pStyle w:val="Heading3"/>
              <w:ind w:left="0" w:firstLine="0"/>
              <w:jc w:val="left"/>
            </w:pPr>
            <w:r>
              <w:t>Reason</w:t>
            </w:r>
            <w:r w:rsidR="000A3D87">
              <w:t>: (</w:t>
            </w:r>
            <w:r>
              <w:t>f</w:t>
            </w:r>
            <w:r w:rsidR="001C7E35" w:rsidRPr="00605A4C">
              <w:t>or recommendation</w:t>
            </w:r>
            <w:r w:rsidR="00714BEE" w:rsidRPr="00605A4C">
              <w:t>s</w:t>
            </w:r>
            <w:r w:rsidR="001C7E35" w:rsidRPr="00605A4C">
              <w:t>)</w:t>
            </w:r>
            <w:r w:rsidR="00F91AE4">
              <w:t xml:space="preserve"> </w:t>
            </w:r>
          </w:p>
          <w:p w14:paraId="061365F9" w14:textId="7E764D36" w:rsidR="001C7E35" w:rsidRPr="000A3D87" w:rsidRDefault="002B7AA6" w:rsidP="00E13BEF">
            <w:pPr>
              <w:pStyle w:val="Heading3"/>
              <w:ind w:left="0" w:firstLine="0"/>
              <w:jc w:val="left"/>
              <w:rPr>
                <w:color w:val="FF0000"/>
                <w:sz w:val="24"/>
                <w:szCs w:val="24"/>
              </w:rPr>
            </w:pPr>
            <w:r w:rsidRPr="000A3D87">
              <w:rPr>
                <w:b w:val="0"/>
                <w:bCs w:val="0"/>
                <w:sz w:val="24"/>
                <w:szCs w:val="24"/>
              </w:rPr>
              <w:t xml:space="preserve">To progress the </w:t>
            </w:r>
            <w:r w:rsidR="002A4BFE" w:rsidRPr="000A3D87">
              <w:rPr>
                <w:b w:val="0"/>
                <w:bCs w:val="0"/>
                <w:sz w:val="24"/>
                <w:szCs w:val="24"/>
              </w:rPr>
              <w:t xml:space="preserve">treatment of </w:t>
            </w:r>
            <w:r w:rsidR="000B5EC2" w:rsidRPr="000A3D87">
              <w:rPr>
                <w:b w:val="0"/>
                <w:bCs w:val="0"/>
                <w:sz w:val="24"/>
                <w:szCs w:val="24"/>
              </w:rPr>
              <w:t xml:space="preserve">Covid-19 </w:t>
            </w:r>
            <w:r w:rsidR="002A4BFE" w:rsidRPr="000A3D87">
              <w:rPr>
                <w:b w:val="0"/>
                <w:bCs w:val="0"/>
                <w:sz w:val="24"/>
                <w:szCs w:val="24"/>
              </w:rPr>
              <w:t>for</w:t>
            </w:r>
            <w:r w:rsidR="000B5EC2" w:rsidRPr="000A3D87">
              <w:rPr>
                <w:b w:val="0"/>
                <w:bCs w:val="0"/>
                <w:sz w:val="24"/>
                <w:szCs w:val="24"/>
              </w:rPr>
              <w:t xml:space="preserve"> residents of Harrow</w:t>
            </w:r>
            <w:r w:rsidR="002A4BFE" w:rsidRPr="000A3D87">
              <w:rPr>
                <w:b w:val="0"/>
                <w:bCs w:val="0"/>
                <w:sz w:val="24"/>
                <w:szCs w:val="24"/>
              </w:rPr>
              <w:t xml:space="preserve"> and key workers</w:t>
            </w:r>
            <w:r w:rsidR="00F771C8" w:rsidRPr="000A3D87">
              <w:rPr>
                <w:b w:val="0"/>
                <w:bCs w:val="0"/>
                <w:sz w:val="24"/>
                <w:szCs w:val="24"/>
              </w:rPr>
              <w:t>.</w:t>
            </w:r>
          </w:p>
          <w:p w14:paraId="313BC81E" w14:textId="77777777" w:rsidR="00333FAA" w:rsidRDefault="00333FAA" w:rsidP="00605A4C"/>
        </w:tc>
      </w:tr>
    </w:tbl>
    <w:p w14:paraId="12FFB02E" w14:textId="00A89A1D" w:rsidR="001C7E35" w:rsidRDefault="00333FAA" w:rsidP="007754AC">
      <w:pPr>
        <w:pStyle w:val="Heading2"/>
        <w:spacing w:before="480"/>
        <w:rPr>
          <w:b w:val="0"/>
          <w:bCs w:val="0"/>
          <w:color w:val="0000FF"/>
          <w:sz w:val="28"/>
        </w:rPr>
      </w:pPr>
      <w:r>
        <w:t>Section 2 – Report</w:t>
      </w:r>
    </w:p>
    <w:p w14:paraId="76168D48" w14:textId="3CF5E786" w:rsidR="001C7E35" w:rsidRDefault="001C7E35" w:rsidP="00F06E4E">
      <w:pPr>
        <w:pStyle w:val="Heading3"/>
        <w:spacing w:before="240"/>
      </w:pPr>
      <w:r>
        <w:t>Introductory paragraph</w:t>
      </w:r>
    </w:p>
    <w:p w14:paraId="40BFDB8B" w14:textId="1B563180" w:rsidR="003F13D8" w:rsidRDefault="003F13D8" w:rsidP="003F13D8"/>
    <w:p w14:paraId="34992E34" w14:textId="33D9E7FA" w:rsidR="00D53922" w:rsidRDefault="003F13D8" w:rsidP="00ED07C4">
      <w:pPr>
        <w:jc w:val="both"/>
      </w:pPr>
      <w:r>
        <w:t>The Council has been approach</w:t>
      </w:r>
      <w:r w:rsidR="00802A1A">
        <w:t>ed</w:t>
      </w:r>
      <w:r>
        <w:t xml:space="preserve"> by </w:t>
      </w:r>
      <w:r w:rsidR="00A22DB7">
        <w:t>a partner</w:t>
      </w:r>
      <w:r w:rsidR="007F296A">
        <w:t xml:space="preserve"> entity of the NHS who is contractually obliged to deliver certain</w:t>
      </w:r>
      <w:r w:rsidR="00FE2561">
        <w:t xml:space="preserve"> treatments for Covid-19 on the NHS’ behalf</w:t>
      </w:r>
      <w:r w:rsidR="006170C3">
        <w:t>, with a view t</w:t>
      </w:r>
      <w:r w:rsidR="003F2D77">
        <w:t xml:space="preserve">o </w:t>
      </w:r>
      <w:r w:rsidR="00DC0670">
        <w:t>provi</w:t>
      </w:r>
      <w:r w:rsidR="003F2D77">
        <w:t>ding</w:t>
      </w:r>
      <w:r w:rsidR="00DC0670">
        <w:t xml:space="preserve"> a Covid-19 vaccine to local residents and key workers.</w:t>
      </w:r>
      <w:r w:rsidR="00F656BD">
        <w:t xml:space="preserve"> The local PCN/ PCCG will also be referring patients to the location.</w:t>
      </w:r>
    </w:p>
    <w:p w14:paraId="36F68CB6" w14:textId="77777777" w:rsidR="00D53922" w:rsidRDefault="00D53922" w:rsidP="00ED07C4">
      <w:pPr>
        <w:jc w:val="both"/>
      </w:pPr>
    </w:p>
    <w:p w14:paraId="003C4CDD" w14:textId="14A82949" w:rsidR="00682D67" w:rsidRDefault="00D53922" w:rsidP="00ED07C4">
      <w:pPr>
        <w:jc w:val="both"/>
      </w:pPr>
      <w:r>
        <w:t xml:space="preserve">A licence will be granted allowing the partner entity </w:t>
      </w:r>
      <w:r w:rsidR="00ED07C4">
        <w:t>in</w:t>
      </w:r>
      <w:r>
        <w:t xml:space="preserve">to occupation of Byron Hall and </w:t>
      </w:r>
      <w:r w:rsidR="00F12538">
        <w:t>erect</w:t>
      </w:r>
      <w:r>
        <w:t xml:space="preserve"> a vaccination site </w:t>
      </w:r>
      <w:r w:rsidR="00F12538">
        <w:t>to supply</w:t>
      </w:r>
      <w:r>
        <w:t xml:space="preserve"> the vaccine to</w:t>
      </w:r>
      <w:r w:rsidR="00F12538">
        <w:t xml:space="preserve"> local</w:t>
      </w:r>
      <w:r>
        <w:t xml:space="preserve"> residents and key workers. The </w:t>
      </w:r>
      <w:r w:rsidR="008D5763">
        <w:t xml:space="preserve">proposed </w:t>
      </w:r>
      <w:r w:rsidR="00DC485C">
        <w:t xml:space="preserve">terms of the licence are set out in the </w:t>
      </w:r>
      <w:r w:rsidR="00942F58">
        <w:t>draft licence appended</w:t>
      </w:r>
      <w:r w:rsidR="00DC485C">
        <w:t xml:space="preserve"> to this report. </w:t>
      </w:r>
    </w:p>
    <w:p w14:paraId="26601CA5" w14:textId="5037B5AA" w:rsidR="00215F48" w:rsidRDefault="00215F48" w:rsidP="00ED07C4">
      <w:pPr>
        <w:jc w:val="both"/>
      </w:pPr>
    </w:p>
    <w:p w14:paraId="04411ECB" w14:textId="3613DA12" w:rsidR="00215F48" w:rsidRDefault="00710386" w:rsidP="00ED07C4">
      <w:pPr>
        <w:jc w:val="both"/>
      </w:pPr>
      <w:r>
        <w:t xml:space="preserve">It is envisaged the licence period will be for </w:t>
      </w:r>
      <w:r w:rsidR="00440606">
        <w:t xml:space="preserve">an initial </w:t>
      </w:r>
      <w:r w:rsidR="00070C30">
        <w:t>12</w:t>
      </w:r>
      <w:r>
        <w:t xml:space="preserve"> months, but this can be extended by agreement.</w:t>
      </w:r>
    </w:p>
    <w:p w14:paraId="2E49455D" w14:textId="4BF6D587" w:rsidR="00ED07C4" w:rsidRDefault="00ED07C4" w:rsidP="00ED07C4">
      <w:pPr>
        <w:jc w:val="both"/>
      </w:pPr>
    </w:p>
    <w:p w14:paraId="576A8697" w14:textId="7914D587" w:rsidR="00ED07C4" w:rsidRDefault="00ED07C4" w:rsidP="00ED07C4">
      <w:pPr>
        <w:jc w:val="both"/>
      </w:pPr>
      <w:r>
        <w:t>Byron Hall has been chosen because</w:t>
      </w:r>
      <w:r w:rsidR="00713B04">
        <w:t xml:space="preserve"> it is of sufficient size to allow delivery of vaccines at scale</w:t>
      </w:r>
      <w:r w:rsidR="00E5763E">
        <w:t>, has the ability to offer separate access and exit, and has sufficient accessible car parking.</w:t>
      </w:r>
    </w:p>
    <w:p w14:paraId="2F509C2C" w14:textId="42840ED7" w:rsidR="007754AC" w:rsidRDefault="007754AC" w:rsidP="00ED07C4">
      <w:pPr>
        <w:jc w:val="both"/>
      </w:pPr>
    </w:p>
    <w:p w14:paraId="5F3A1330" w14:textId="77777777" w:rsidR="007754AC" w:rsidRPr="003F13D8" w:rsidRDefault="007754AC" w:rsidP="00ED07C4">
      <w:pPr>
        <w:jc w:val="both"/>
      </w:pPr>
    </w:p>
    <w:p w14:paraId="0A078380" w14:textId="77777777" w:rsidR="00AD1E77" w:rsidRDefault="001C7E35" w:rsidP="00A1211C">
      <w:pPr>
        <w:pStyle w:val="Heading3"/>
        <w:spacing w:before="240"/>
        <w:ind w:left="0" w:firstLine="0"/>
        <w:jc w:val="left"/>
      </w:pPr>
      <w:r>
        <w:t xml:space="preserve">Options considered  </w:t>
      </w:r>
    </w:p>
    <w:p w14:paraId="0A403AFD" w14:textId="77777777" w:rsidR="006868A8" w:rsidRDefault="006868A8" w:rsidP="00AD1E77">
      <w:pPr>
        <w:rPr>
          <w:bCs/>
        </w:rPr>
      </w:pPr>
    </w:p>
    <w:p w14:paraId="5D4C8EA1" w14:textId="28D18DF8" w:rsidR="001C7E35" w:rsidRPr="009E3191" w:rsidRDefault="006232D3" w:rsidP="00AD1E77">
      <w:pPr>
        <w:rPr>
          <w:bCs/>
        </w:rPr>
      </w:pPr>
      <w:r w:rsidRPr="009E3191">
        <w:rPr>
          <w:bCs/>
        </w:rPr>
        <w:lastRenderedPageBreak/>
        <w:t>The following options have</w:t>
      </w:r>
      <w:r w:rsidR="009E3191" w:rsidRPr="009E3191">
        <w:rPr>
          <w:bCs/>
        </w:rPr>
        <w:t xml:space="preserve"> been considered:</w:t>
      </w:r>
    </w:p>
    <w:p w14:paraId="329C628D" w14:textId="77777777" w:rsidR="006232D3" w:rsidRDefault="006232D3" w:rsidP="00AD1E77">
      <w:pPr>
        <w:rPr>
          <w:b/>
          <w:color w:val="FF0000"/>
        </w:rPr>
      </w:pPr>
    </w:p>
    <w:p w14:paraId="01F51318" w14:textId="5F34BC8A" w:rsidR="006232D3" w:rsidRPr="006821EA" w:rsidRDefault="006232D3" w:rsidP="00AD1E77">
      <w:pPr>
        <w:rPr>
          <w:bCs/>
        </w:rPr>
      </w:pPr>
      <w:r w:rsidRPr="006821EA">
        <w:rPr>
          <w:bCs/>
        </w:rPr>
        <w:t>1</w:t>
      </w:r>
      <w:r w:rsidR="006868A8">
        <w:rPr>
          <w:bCs/>
        </w:rPr>
        <w:t>.</w:t>
      </w:r>
      <w:r w:rsidRPr="006821EA">
        <w:rPr>
          <w:bCs/>
        </w:rPr>
        <w:t xml:space="preserve"> </w:t>
      </w:r>
      <w:r w:rsidR="006821EA" w:rsidRPr="006821EA">
        <w:rPr>
          <w:bCs/>
        </w:rPr>
        <w:t>Enter into the licence</w:t>
      </w:r>
    </w:p>
    <w:p w14:paraId="7CF42035" w14:textId="3C848D8F" w:rsidR="006821EA" w:rsidRPr="006821EA" w:rsidRDefault="006821EA" w:rsidP="00AD1E77">
      <w:pPr>
        <w:rPr>
          <w:bCs/>
        </w:rPr>
      </w:pPr>
    </w:p>
    <w:p w14:paraId="44378DFA" w14:textId="675AFE10" w:rsidR="006821EA" w:rsidRDefault="006821EA" w:rsidP="00AD1E77">
      <w:pPr>
        <w:rPr>
          <w:bCs/>
        </w:rPr>
      </w:pPr>
      <w:r w:rsidRPr="006821EA">
        <w:rPr>
          <w:bCs/>
        </w:rPr>
        <w:t>2. Do nothing</w:t>
      </w:r>
    </w:p>
    <w:p w14:paraId="082D362E" w14:textId="49843B95" w:rsidR="00FF3513" w:rsidRDefault="00FF3513" w:rsidP="00AD1E77">
      <w:pPr>
        <w:rPr>
          <w:bCs/>
        </w:rPr>
      </w:pPr>
    </w:p>
    <w:p w14:paraId="70EE97CC" w14:textId="73A51D58" w:rsidR="00FF3513" w:rsidRPr="006821EA" w:rsidRDefault="006868A8" w:rsidP="00AD1E77">
      <w:pPr>
        <w:rPr>
          <w:bCs/>
        </w:rPr>
      </w:pPr>
      <w:r>
        <w:rPr>
          <w:bCs/>
        </w:rPr>
        <w:t>Option 1 is recommended</w:t>
      </w:r>
      <w:r w:rsidR="00FB1C6A">
        <w:rPr>
          <w:bCs/>
        </w:rPr>
        <w:t>. If</w:t>
      </w:r>
      <w:r w:rsidR="00321ADB">
        <w:rPr>
          <w:bCs/>
        </w:rPr>
        <w:t xml:space="preserve"> </w:t>
      </w:r>
      <w:r w:rsidR="007922B8">
        <w:rPr>
          <w:bCs/>
        </w:rPr>
        <w:t>O</w:t>
      </w:r>
      <w:r w:rsidR="00321ADB">
        <w:rPr>
          <w:bCs/>
        </w:rPr>
        <w:t>ption 2, this would potentially delay</w:t>
      </w:r>
      <w:r w:rsidR="005F2DFB">
        <w:rPr>
          <w:bCs/>
        </w:rPr>
        <w:t xml:space="preserve"> treatment</w:t>
      </w:r>
      <w:r w:rsidR="00321ADB">
        <w:rPr>
          <w:bCs/>
        </w:rPr>
        <w:t xml:space="preserve"> </w:t>
      </w:r>
      <w:r w:rsidR="005E5328">
        <w:rPr>
          <w:bCs/>
        </w:rPr>
        <w:t>b</w:t>
      </w:r>
      <w:r w:rsidR="00321ADB">
        <w:rPr>
          <w:bCs/>
        </w:rPr>
        <w:t>eing made available to local residents and key workers.</w:t>
      </w:r>
    </w:p>
    <w:p w14:paraId="75284416" w14:textId="4C1EE468" w:rsidR="00A81E19" w:rsidRDefault="00A81E19" w:rsidP="00A1211C">
      <w:pPr>
        <w:pStyle w:val="Heading3"/>
        <w:spacing w:before="480" w:after="240"/>
      </w:pPr>
      <w:r w:rsidRPr="001472A8">
        <w:t>Risk Management Implications</w:t>
      </w:r>
    </w:p>
    <w:p w14:paraId="582D3FB9" w14:textId="026B3425" w:rsidR="006602F3" w:rsidRDefault="006602F3" w:rsidP="006602F3">
      <w:r>
        <w:t xml:space="preserve">The risk is included in a Directorate Risk Register </w:t>
      </w:r>
      <w:r w:rsidRPr="00E05423">
        <w:rPr>
          <w:strike/>
        </w:rPr>
        <w:t>Yes</w:t>
      </w:r>
      <w:r>
        <w:t>/No</w:t>
      </w:r>
    </w:p>
    <w:p w14:paraId="65BC1820" w14:textId="3705DC1C" w:rsidR="006602F3" w:rsidRDefault="006602F3" w:rsidP="006602F3">
      <w:r>
        <w:t xml:space="preserve">A separate risk register is in place </w:t>
      </w:r>
      <w:r w:rsidRPr="00E05423">
        <w:rPr>
          <w:strike/>
        </w:rPr>
        <w:t>Yes</w:t>
      </w:r>
      <w:r>
        <w:t>/No</w:t>
      </w:r>
    </w:p>
    <w:p w14:paraId="249E8567" w14:textId="77777777" w:rsidR="006602F3" w:rsidRPr="006602F3" w:rsidRDefault="006602F3" w:rsidP="00E05423"/>
    <w:p w14:paraId="11A54D13" w14:textId="07722D40" w:rsidR="00333541" w:rsidRDefault="00333541" w:rsidP="00333541">
      <w:r>
        <w:t xml:space="preserve">The key risks are: </w:t>
      </w:r>
    </w:p>
    <w:p w14:paraId="423E9F74" w14:textId="77777777" w:rsidR="000A3D87" w:rsidRDefault="000A3D87" w:rsidP="00333541"/>
    <w:p w14:paraId="04D9F20D" w14:textId="74DCC828" w:rsidR="00333541" w:rsidRDefault="00333541" w:rsidP="00333541">
      <w:r>
        <w:t xml:space="preserve">a) the </w:t>
      </w:r>
      <w:r w:rsidR="003F247C">
        <w:t>partner entity</w:t>
      </w:r>
      <w:r>
        <w:t xml:space="preserve"> does not pay the agreed rent (inclusive </w:t>
      </w:r>
      <w:r w:rsidR="000A3D87">
        <w:t>of business</w:t>
      </w:r>
      <w:r>
        <w:t xml:space="preserve"> rates) causing a loss to the Council </w:t>
      </w:r>
    </w:p>
    <w:p w14:paraId="1AF0DF3C" w14:textId="31197DE0" w:rsidR="00333541" w:rsidRDefault="00333541" w:rsidP="00333541">
      <w:r>
        <w:t>b) the premises are damaged during the period of the licence at a cost to the Council</w:t>
      </w:r>
    </w:p>
    <w:p w14:paraId="61EBBAA4" w14:textId="1C24B165" w:rsidR="00333541" w:rsidRDefault="00333541" w:rsidP="00333541">
      <w:r>
        <w:t xml:space="preserve">c) H&amp;S is breached during the period of the licence for which the Council is liable  </w:t>
      </w:r>
    </w:p>
    <w:p w14:paraId="4E896D4B" w14:textId="0932AC6B" w:rsidR="00333541" w:rsidRDefault="00333541" w:rsidP="00333541"/>
    <w:p w14:paraId="6136D3D9" w14:textId="60E68B12" w:rsidR="003F247C" w:rsidRDefault="00333541" w:rsidP="003F247C">
      <w:r>
        <w:t>These risks are mitigated as t</w:t>
      </w:r>
      <w:r w:rsidR="00D01326">
        <w:t xml:space="preserve">he proposed licence </w:t>
      </w:r>
      <w:r w:rsidR="00810B53">
        <w:t xml:space="preserve">permits either party to </w:t>
      </w:r>
      <w:r w:rsidR="00C62CA9">
        <w:t xml:space="preserve">terminate where the other </w:t>
      </w:r>
      <w:r w:rsidR="00954606">
        <w:t xml:space="preserve">party </w:t>
      </w:r>
      <w:r w:rsidR="00C62CA9">
        <w:t>is in material breach</w:t>
      </w:r>
      <w:r w:rsidR="00954606">
        <w:t xml:space="preserve"> of its obligations</w:t>
      </w:r>
      <w:r>
        <w:t xml:space="preserve">, the </w:t>
      </w:r>
      <w:r w:rsidR="003F247C">
        <w:t xml:space="preserve">premises is insured by the </w:t>
      </w:r>
      <w:r>
        <w:t xml:space="preserve">Council to cover damage and the </w:t>
      </w:r>
      <w:r w:rsidR="006602F3">
        <w:t xml:space="preserve">license clearly states that the </w:t>
      </w:r>
      <w:r w:rsidR="003F247C">
        <w:t>partner entity</w:t>
      </w:r>
      <w:r w:rsidR="006602F3">
        <w:t xml:space="preserve"> </w:t>
      </w:r>
      <w:r w:rsidR="003F247C">
        <w:t>is</w:t>
      </w:r>
      <w:r w:rsidR="006602F3">
        <w:t xml:space="preserve"> responsible for H&amp;S during the period in questio</w:t>
      </w:r>
      <w:r w:rsidR="003F247C">
        <w:t>n.</w:t>
      </w:r>
    </w:p>
    <w:p w14:paraId="1AE61D71" w14:textId="77777777" w:rsidR="00E05423" w:rsidRDefault="00E05423" w:rsidP="003F247C"/>
    <w:p w14:paraId="0249BBDB" w14:textId="1B889131" w:rsidR="002A3FEF" w:rsidRPr="00E05423" w:rsidRDefault="002A3FEF" w:rsidP="00E05423">
      <w:pPr>
        <w:rPr>
          <w:b/>
          <w:bCs/>
          <w:sz w:val="28"/>
          <w:szCs w:val="28"/>
        </w:rPr>
      </w:pPr>
      <w:r w:rsidRPr="00E05423">
        <w:rPr>
          <w:b/>
          <w:bCs/>
          <w:sz w:val="28"/>
          <w:szCs w:val="28"/>
        </w:rPr>
        <w:t xml:space="preserve">Procurement Implications </w:t>
      </w:r>
    </w:p>
    <w:p w14:paraId="2E23B6A8" w14:textId="13C0D4F0" w:rsidR="00482F97" w:rsidRPr="00482F97" w:rsidRDefault="00482F97" w:rsidP="00482F97">
      <w:r>
        <w:t>There are no procurement implications for this report.</w:t>
      </w:r>
    </w:p>
    <w:p w14:paraId="44413A6E" w14:textId="77777777" w:rsidR="00333FAA" w:rsidRDefault="00333FAA" w:rsidP="00A1211C">
      <w:pPr>
        <w:pStyle w:val="Heading3"/>
        <w:spacing w:before="480" w:after="240"/>
      </w:pPr>
      <w:r>
        <w:t>Legal Implications</w:t>
      </w:r>
    </w:p>
    <w:p w14:paraId="77A1B6E7" w14:textId="6C06DDAC" w:rsidR="00A1211C" w:rsidRPr="00F5649A" w:rsidRDefault="00A1211C" w:rsidP="00DD4B9E">
      <w:pPr>
        <w:jc w:val="both"/>
      </w:pPr>
      <w:r w:rsidRPr="00421A4C">
        <w:t>Se</w:t>
      </w:r>
      <w:r w:rsidR="00025333">
        <w:t>ction 123 of the Local Government Act 1972</w:t>
      </w:r>
      <w:r w:rsidR="001744DA">
        <w:t xml:space="preserve"> permits principal councils to dispose of </w:t>
      </w:r>
      <w:r w:rsidR="00D3251D">
        <w:t xml:space="preserve">land held them in any manner they wish, subject to certain statutory criteria. </w:t>
      </w:r>
      <w:r w:rsidR="00DD4B9E">
        <w:t>Those statutory criteria do not apply in this matter as the Council is only granting a short-term licence.</w:t>
      </w:r>
      <w:r w:rsidR="005718C0">
        <w:t xml:space="preserve"> Accordingly, the Council is freely able to grant the licence.</w:t>
      </w:r>
    </w:p>
    <w:p w14:paraId="11F2AC04" w14:textId="61D05679" w:rsidR="00333FAA" w:rsidRDefault="00333FAA" w:rsidP="00A1211C">
      <w:pPr>
        <w:pStyle w:val="Heading3"/>
        <w:spacing w:before="480" w:after="240"/>
      </w:pPr>
      <w:r>
        <w:t>Financial Implications</w:t>
      </w:r>
    </w:p>
    <w:p w14:paraId="44D2239D" w14:textId="153D3AB0" w:rsidR="00416F4C" w:rsidRDefault="00416F4C" w:rsidP="00110EE9">
      <w:pPr>
        <w:jc w:val="both"/>
      </w:pPr>
      <w:r>
        <w:t xml:space="preserve">Byron Hall is situated within the Harrow Leisure Centre </w:t>
      </w:r>
      <w:r w:rsidR="00D41F10">
        <w:t>site, which</w:t>
      </w:r>
      <w:r>
        <w:t xml:space="preserve"> is currently managed by a </w:t>
      </w:r>
      <w:r w:rsidR="000A3D87">
        <w:t>third-party</w:t>
      </w:r>
      <w:r>
        <w:t xml:space="preserve"> leisure operator </w:t>
      </w:r>
      <w:r w:rsidR="00D41F10">
        <w:t xml:space="preserve">from whom the Council receives a fixed management fee.  </w:t>
      </w:r>
      <w:r w:rsidR="002E761F">
        <w:t>Considering</w:t>
      </w:r>
      <w:r w:rsidR="00D41F10">
        <w:t xml:space="preserve"> this existing arrangement</w:t>
      </w:r>
      <w:r w:rsidR="002E761F">
        <w:t>,</w:t>
      </w:r>
      <w:r w:rsidR="00D41F10">
        <w:t xml:space="preserve"> an </w:t>
      </w:r>
      <w:r w:rsidR="000A3D87">
        <w:t>appropriate level</w:t>
      </w:r>
      <w:r w:rsidR="00D41F10">
        <w:t xml:space="preserve"> of rent (inclusive of business rates) has been agreed with the partner entity</w:t>
      </w:r>
      <w:r w:rsidR="0042242C">
        <w:t>.</w:t>
      </w:r>
      <w:r w:rsidR="00D41F10">
        <w:t xml:space="preserve">   </w:t>
      </w:r>
    </w:p>
    <w:p w14:paraId="10EE2598" w14:textId="77777777" w:rsidR="00110EE9" w:rsidRPr="00416F4C" w:rsidRDefault="00110EE9" w:rsidP="00697291"/>
    <w:p w14:paraId="7EEEB0D0" w14:textId="07B9DE24" w:rsidR="001966D7" w:rsidRPr="00CD57D8" w:rsidRDefault="00333FAA" w:rsidP="000A3D87">
      <w:pPr>
        <w:pStyle w:val="Heading3"/>
        <w:spacing w:before="480" w:after="240"/>
        <w:rPr>
          <w:szCs w:val="24"/>
          <w:lang w:val="en-US"/>
        </w:rPr>
      </w:pPr>
      <w:r>
        <w:lastRenderedPageBreak/>
        <w:t xml:space="preserve">Council </w:t>
      </w:r>
      <w:r w:rsidRPr="009117F2">
        <w:t>Priorities</w:t>
      </w:r>
    </w:p>
    <w:p w14:paraId="2602250F" w14:textId="77777777" w:rsidR="00D07F46" w:rsidRPr="00D0381E" w:rsidRDefault="00D0381E" w:rsidP="000B7C66">
      <w:pPr>
        <w:pStyle w:val="ListParagraph"/>
        <w:numPr>
          <w:ilvl w:val="0"/>
          <w:numId w:val="40"/>
        </w:numPr>
        <w:autoSpaceDE w:val="0"/>
        <w:autoSpaceDN w:val="0"/>
        <w:spacing w:before="240"/>
        <w:rPr>
          <w:b/>
          <w:bCs/>
        </w:rPr>
      </w:pPr>
      <w:r w:rsidRPr="00D0381E">
        <w:rPr>
          <w:b/>
        </w:rPr>
        <w:t>Improving the environment and addressing climate change</w:t>
      </w:r>
    </w:p>
    <w:p w14:paraId="3B546FEA" w14:textId="77777777" w:rsidR="00D07F46" w:rsidRPr="00D0381E" w:rsidRDefault="00D0381E" w:rsidP="000B7C66">
      <w:pPr>
        <w:pStyle w:val="ListParagraph"/>
        <w:numPr>
          <w:ilvl w:val="0"/>
          <w:numId w:val="40"/>
        </w:numPr>
        <w:autoSpaceDE w:val="0"/>
        <w:autoSpaceDN w:val="0"/>
        <w:spacing w:before="240"/>
        <w:rPr>
          <w:b/>
          <w:bCs/>
        </w:rPr>
      </w:pPr>
      <w:r w:rsidRPr="00D0381E">
        <w:rPr>
          <w:b/>
        </w:rPr>
        <w:t>Tackling poverty and inequality</w:t>
      </w:r>
    </w:p>
    <w:p w14:paraId="31563814" w14:textId="77777777" w:rsidR="00D07F46" w:rsidRPr="00D0381E" w:rsidRDefault="00D0381E" w:rsidP="000B7C66">
      <w:pPr>
        <w:pStyle w:val="ListParagraph"/>
        <w:numPr>
          <w:ilvl w:val="0"/>
          <w:numId w:val="40"/>
        </w:numPr>
        <w:autoSpaceDE w:val="0"/>
        <w:autoSpaceDN w:val="0"/>
        <w:spacing w:before="240"/>
        <w:rPr>
          <w:b/>
          <w:bCs/>
        </w:rPr>
      </w:pPr>
      <w:r w:rsidRPr="00D0381E">
        <w:rPr>
          <w:b/>
        </w:rPr>
        <w:t>Building homes and infrastructure</w:t>
      </w:r>
    </w:p>
    <w:p w14:paraId="53B22976" w14:textId="77777777" w:rsidR="00D07F46" w:rsidRPr="00D0381E" w:rsidRDefault="00D0381E" w:rsidP="000B7C66">
      <w:pPr>
        <w:pStyle w:val="ListParagraph"/>
        <w:numPr>
          <w:ilvl w:val="0"/>
          <w:numId w:val="40"/>
        </w:numPr>
        <w:autoSpaceDE w:val="0"/>
        <w:autoSpaceDN w:val="0"/>
        <w:spacing w:before="240"/>
        <w:rPr>
          <w:b/>
        </w:rPr>
      </w:pPr>
      <w:r w:rsidRPr="00D0381E">
        <w:rPr>
          <w:b/>
        </w:rPr>
        <w:t>Addressing health and social care inequality</w:t>
      </w:r>
    </w:p>
    <w:p w14:paraId="74ED77AB" w14:textId="77777777" w:rsidR="00307F76" w:rsidRPr="00D0381E" w:rsidRDefault="00D0381E" w:rsidP="000B7C66">
      <w:pPr>
        <w:pStyle w:val="ListParagraph"/>
        <w:numPr>
          <w:ilvl w:val="0"/>
          <w:numId w:val="40"/>
        </w:numPr>
        <w:autoSpaceDE w:val="0"/>
        <w:autoSpaceDN w:val="0"/>
        <w:spacing w:before="240"/>
        <w:rPr>
          <w:b/>
        </w:rPr>
      </w:pPr>
      <w:r w:rsidRPr="00D0381E">
        <w:rPr>
          <w:b/>
        </w:rPr>
        <w:t>Thriving economy</w:t>
      </w:r>
    </w:p>
    <w:p w14:paraId="5514D939" w14:textId="77777777" w:rsidR="00333FAA" w:rsidRDefault="00333FAA" w:rsidP="000B7C66">
      <w:pPr>
        <w:pStyle w:val="Heading2"/>
        <w:spacing w:before="480" w:after="240"/>
      </w:pPr>
      <w:r>
        <w:t>Section 3 - Statutory Officer Clearance</w:t>
      </w:r>
    </w:p>
    <w:p w14:paraId="3B5D52F9" w14:textId="1F418C5C" w:rsidR="00A66326" w:rsidRPr="00A66326" w:rsidRDefault="00A66326" w:rsidP="00A66326">
      <w:pPr>
        <w:rPr>
          <w:sz w:val="28"/>
        </w:rPr>
      </w:pPr>
      <w:r w:rsidRPr="00A66326">
        <w:rPr>
          <w:b/>
          <w:sz w:val="28"/>
        </w:rPr>
        <w:t xml:space="preserve">Statutory Officer:  </w:t>
      </w:r>
      <w:r w:rsidR="007754AC">
        <w:rPr>
          <w:b/>
          <w:sz w:val="28"/>
        </w:rPr>
        <w:t>Dawn Calvert</w:t>
      </w:r>
    </w:p>
    <w:p w14:paraId="33977AD6" w14:textId="7F796E7D" w:rsidR="00A66326" w:rsidRPr="00A66326" w:rsidRDefault="00A66326" w:rsidP="00A66326">
      <w:pPr>
        <w:rPr>
          <w:sz w:val="28"/>
        </w:rPr>
      </w:pPr>
      <w:r w:rsidRPr="00A66326">
        <w:t>Signed /by the Chief Financial Officer</w:t>
      </w:r>
    </w:p>
    <w:p w14:paraId="555021EF" w14:textId="17DD2625" w:rsidR="00A66326" w:rsidRPr="00A66326" w:rsidRDefault="00A66326" w:rsidP="00A66326">
      <w:pPr>
        <w:spacing w:after="480"/>
        <w:rPr>
          <w:sz w:val="28"/>
        </w:rPr>
      </w:pPr>
      <w:r w:rsidRPr="00A66326">
        <w:rPr>
          <w:b/>
          <w:sz w:val="28"/>
        </w:rPr>
        <w:t xml:space="preserve">Date:  </w:t>
      </w:r>
      <w:r w:rsidR="007754AC">
        <w:rPr>
          <w:b/>
          <w:sz w:val="28"/>
        </w:rPr>
        <w:t>15 December 2020</w:t>
      </w:r>
    </w:p>
    <w:p w14:paraId="7E329E85" w14:textId="789516FB" w:rsidR="00A66326" w:rsidRPr="00A66326" w:rsidRDefault="00A66326" w:rsidP="00A66326">
      <w:pPr>
        <w:rPr>
          <w:sz w:val="28"/>
        </w:rPr>
      </w:pPr>
      <w:r w:rsidRPr="00A66326">
        <w:rPr>
          <w:b/>
          <w:sz w:val="28"/>
        </w:rPr>
        <w:t xml:space="preserve">Statutory Officer:  </w:t>
      </w:r>
      <w:r w:rsidR="007754AC">
        <w:rPr>
          <w:b/>
          <w:sz w:val="28"/>
        </w:rPr>
        <w:t>Matthew Dineen</w:t>
      </w:r>
    </w:p>
    <w:p w14:paraId="76E71941" w14:textId="7090A193" w:rsidR="00A66326" w:rsidRPr="00A66326" w:rsidRDefault="00A66326" w:rsidP="00A66326">
      <w:pPr>
        <w:rPr>
          <w:sz w:val="28"/>
        </w:rPr>
      </w:pPr>
      <w:r w:rsidRPr="00A66326">
        <w:t>Signed on behalf of the Monitoring Officer</w:t>
      </w:r>
    </w:p>
    <w:p w14:paraId="1AC0D358" w14:textId="6C31B945" w:rsidR="00A66326" w:rsidRPr="003313EA" w:rsidRDefault="00A66326" w:rsidP="00A66326">
      <w:pPr>
        <w:spacing w:after="480"/>
        <w:rPr>
          <w:sz w:val="28"/>
        </w:rPr>
      </w:pPr>
      <w:r w:rsidRPr="00A66326">
        <w:rPr>
          <w:b/>
          <w:sz w:val="28"/>
        </w:rPr>
        <w:t xml:space="preserve">Date:  </w:t>
      </w:r>
      <w:r w:rsidR="007754AC">
        <w:rPr>
          <w:b/>
          <w:sz w:val="28"/>
        </w:rPr>
        <w:t>15 December 2020</w:t>
      </w:r>
    </w:p>
    <w:p w14:paraId="72788CD7" w14:textId="32F00EA0" w:rsidR="00A66326" w:rsidRPr="003313EA" w:rsidRDefault="00A66326" w:rsidP="00A66326">
      <w:pPr>
        <w:rPr>
          <w:sz w:val="28"/>
        </w:rPr>
      </w:pPr>
      <w:r w:rsidRPr="00A66326">
        <w:rPr>
          <w:b/>
          <w:sz w:val="28"/>
        </w:rPr>
        <w:t xml:space="preserve">Statutory Officer:  </w:t>
      </w:r>
      <w:r w:rsidR="007754AC">
        <w:rPr>
          <w:b/>
          <w:sz w:val="28"/>
        </w:rPr>
        <w:t>n/a</w:t>
      </w:r>
    </w:p>
    <w:p w14:paraId="15C004F3" w14:textId="37D19CCE" w:rsidR="00A66326" w:rsidRPr="003313EA" w:rsidRDefault="00A66326" w:rsidP="00A66326">
      <w:r w:rsidRPr="003313EA">
        <w:t>Signed on behalf of/by the Head of Procurement</w:t>
      </w:r>
    </w:p>
    <w:p w14:paraId="1C36C60F" w14:textId="77777777" w:rsidR="00A66326" w:rsidRPr="00A66326" w:rsidRDefault="00A66326" w:rsidP="00A66326">
      <w:pPr>
        <w:rPr>
          <w:sz w:val="28"/>
        </w:rPr>
      </w:pPr>
    </w:p>
    <w:p w14:paraId="7B7CECF4" w14:textId="1E8046E6" w:rsidR="00A66326" w:rsidRPr="00A66326" w:rsidRDefault="00A66326" w:rsidP="00A66326">
      <w:pPr>
        <w:rPr>
          <w:sz w:val="28"/>
        </w:rPr>
      </w:pPr>
      <w:r w:rsidRPr="00A66326">
        <w:rPr>
          <w:b/>
          <w:sz w:val="28"/>
        </w:rPr>
        <w:t xml:space="preserve">Statutory Officer:  </w:t>
      </w:r>
      <w:r w:rsidR="007754AC">
        <w:rPr>
          <w:b/>
          <w:sz w:val="28"/>
        </w:rPr>
        <w:t>Paul Walker</w:t>
      </w:r>
    </w:p>
    <w:p w14:paraId="1CC2B67E" w14:textId="77938174" w:rsidR="00A66326" w:rsidRPr="00A66326" w:rsidRDefault="00F51E01" w:rsidP="00A66326">
      <w:pPr>
        <w:rPr>
          <w:sz w:val="28"/>
        </w:rPr>
      </w:pPr>
      <w:r>
        <w:t>Signed</w:t>
      </w:r>
      <w:r w:rsidR="00A66326" w:rsidRPr="00A66326">
        <w:t xml:space="preserve"> by the Corporate Director</w:t>
      </w:r>
    </w:p>
    <w:p w14:paraId="74DFB7F8" w14:textId="0C3A95C0" w:rsidR="00A66326" w:rsidRDefault="00A66326" w:rsidP="00A66326">
      <w:pPr>
        <w:spacing w:after="480"/>
        <w:rPr>
          <w:b/>
          <w:sz w:val="28"/>
        </w:rPr>
      </w:pPr>
      <w:r w:rsidRPr="00A66326">
        <w:rPr>
          <w:b/>
          <w:sz w:val="28"/>
        </w:rPr>
        <w:t xml:space="preserve">Date:  </w:t>
      </w:r>
      <w:r w:rsidR="007754AC">
        <w:rPr>
          <w:b/>
          <w:sz w:val="28"/>
        </w:rPr>
        <w:t>14 December 2020</w:t>
      </w:r>
    </w:p>
    <w:p w14:paraId="67BBAB33" w14:textId="0568D524" w:rsidR="00506185" w:rsidRPr="00A66326" w:rsidRDefault="00506185" w:rsidP="00506185">
      <w:pPr>
        <w:rPr>
          <w:sz w:val="28"/>
        </w:rPr>
      </w:pPr>
      <w:r w:rsidRPr="00A66326">
        <w:rPr>
          <w:b/>
          <w:sz w:val="28"/>
        </w:rPr>
        <w:t xml:space="preserve">Statutory Officer:  </w:t>
      </w:r>
      <w:r w:rsidR="007754AC">
        <w:rPr>
          <w:b/>
          <w:sz w:val="28"/>
        </w:rPr>
        <w:t xml:space="preserve">Susan Dixson </w:t>
      </w:r>
    </w:p>
    <w:p w14:paraId="14A4851C" w14:textId="70DA457C" w:rsidR="00506185" w:rsidRPr="00A66326" w:rsidRDefault="00506185" w:rsidP="00506185">
      <w:pPr>
        <w:rPr>
          <w:sz w:val="28"/>
        </w:rPr>
      </w:pPr>
      <w:r w:rsidRPr="003313EA">
        <w:t xml:space="preserve">Signed by the Head of </w:t>
      </w:r>
      <w:r>
        <w:t>Internal Audit</w:t>
      </w:r>
    </w:p>
    <w:p w14:paraId="069350BA" w14:textId="4C06B16E" w:rsidR="00506185" w:rsidRPr="00A66326" w:rsidRDefault="00506185" w:rsidP="00506185">
      <w:pPr>
        <w:spacing w:after="480"/>
        <w:rPr>
          <w:sz w:val="28"/>
        </w:rPr>
      </w:pPr>
      <w:r w:rsidRPr="00A66326">
        <w:rPr>
          <w:b/>
          <w:sz w:val="28"/>
        </w:rPr>
        <w:t xml:space="preserve">Date:  </w:t>
      </w:r>
      <w:r w:rsidR="007754AC">
        <w:rPr>
          <w:b/>
          <w:sz w:val="28"/>
        </w:rPr>
        <w:t>15 December 2020</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EFD03CA" w:rsidR="00333FAA" w:rsidRPr="005808FB" w:rsidRDefault="00333FAA" w:rsidP="00CC18AC">
      <w:pPr>
        <w:pStyle w:val="Infotext"/>
        <w:spacing w:after="240"/>
        <w:rPr>
          <w:color w:val="FF0000"/>
        </w:rPr>
      </w:pPr>
      <w:r w:rsidRPr="004E47FC">
        <w:rPr>
          <w:b/>
        </w:rPr>
        <w:t xml:space="preserve">Contact:  </w:t>
      </w:r>
      <w:r w:rsidR="008774F3" w:rsidRPr="008774F3">
        <w:rPr>
          <w:bCs/>
        </w:rPr>
        <w:t xml:space="preserve">Julian Wain, Interim Director of Regeneration </w:t>
      </w:r>
      <w:hyperlink r:id="rId13" w:history="1">
        <w:r w:rsidR="008774F3" w:rsidRPr="008774F3">
          <w:rPr>
            <w:rStyle w:val="Hyperlink"/>
            <w:bCs/>
          </w:rPr>
          <w:t>julian.wain@harrow.gov.uk</w:t>
        </w:r>
      </w:hyperlink>
      <w:r w:rsidR="008774F3">
        <w:rPr>
          <w:b/>
        </w:rPr>
        <w:t xml:space="preserve"> </w:t>
      </w:r>
    </w:p>
    <w:p w14:paraId="5643A7F9" w14:textId="584232C8" w:rsidR="005718B5" w:rsidRPr="00842757" w:rsidRDefault="00333FAA" w:rsidP="008774F3">
      <w:pPr>
        <w:pStyle w:val="Infotext"/>
        <w:spacing w:after="240"/>
        <w:rPr>
          <w:rFonts w:ascii="Calibri" w:hAnsi="Calibri"/>
          <w:szCs w:val="24"/>
          <w:lang w:eastAsia="en-GB"/>
        </w:rPr>
      </w:pPr>
      <w:r w:rsidRPr="004E47FC">
        <w:rPr>
          <w:b/>
        </w:rPr>
        <w:t xml:space="preserve">Background Papers: </w:t>
      </w:r>
      <w:r w:rsidR="008774F3" w:rsidRPr="008774F3">
        <w:rPr>
          <w:bCs/>
        </w:rPr>
        <w:t xml:space="preserve">None </w:t>
      </w:r>
      <w:r w:rsidR="005808FB" w:rsidRPr="008774F3">
        <w:rPr>
          <w:bCs/>
        </w:rPr>
        <w:t xml:space="preserve"> </w:t>
      </w:r>
    </w:p>
    <w:p w14:paraId="17CDBD67" w14:textId="3114A821" w:rsidR="00842757" w:rsidRDefault="00842757" w:rsidP="007754AC">
      <w:pPr>
        <w:pStyle w:val="Infotext"/>
        <w:spacing w:before="480"/>
      </w:pPr>
      <w:r>
        <w:rPr>
          <w:rFonts w:ascii="Arial Black" w:hAnsi="Arial Black"/>
        </w:rPr>
        <w:t>Call-in w</w:t>
      </w:r>
      <w:r w:rsidRPr="007C0DC3">
        <w:rPr>
          <w:rFonts w:ascii="Arial Black" w:hAnsi="Arial Black"/>
        </w:rPr>
        <w:t>aived by the Chair of Overview and Scrutiny Committee</w:t>
      </w:r>
      <w:r w:rsidR="007754AC">
        <w:rPr>
          <w:rFonts w:ascii="Arial Black" w:hAnsi="Arial Black"/>
        </w:rPr>
        <w:t xml:space="preserve"> - </w:t>
      </w:r>
      <w:bookmarkStart w:id="0" w:name="_GoBack"/>
      <w:bookmarkEnd w:id="0"/>
      <w:r w:rsidRPr="003D78F6">
        <w:rPr>
          <w:b/>
        </w:rPr>
        <w:t>YES</w:t>
      </w:r>
    </w:p>
    <w:sectPr w:rsidR="00842757"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0826" w14:textId="77777777" w:rsidR="001F6455" w:rsidRDefault="001F6455">
      <w:r>
        <w:separator/>
      </w:r>
    </w:p>
  </w:endnote>
  <w:endnote w:type="continuationSeparator" w:id="0">
    <w:p w14:paraId="1A8878F4" w14:textId="77777777" w:rsidR="001F6455" w:rsidRDefault="001F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19C7" w14:textId="77777777" w:rsidR="001F6455" w:rsidRDefault="001F6455">
      <w:r>
        <w:separator/>
      </w:r>
    </w:p>
  </w:footnote>
  <w:footnote w:type="continuationSeparator" w:id="0">
    <w:p w14:paraId="5A44ABCF" w14:textId="77777777" w:rsidR="001F6455" w:rsidRDefault="001F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5"/>
  </w:num>
  <w:num w:numId="4">
    <w:abstractNumId w:val="42"/>
  </w:num>
  <w:num w:numId="5">
    <w:abstractNumId w:val="38"/>
  </w:num>
  <w:num w:numId="6">
    <w:abstractNumId w:val="17"/>
  </w:num>
  <w:num w:numId="7">
    <w:abstractNumId w:val="1"/>
  </w:num>
  <w:num w:numId="8">
    <w:abstractNumId w:val="23"/>
  </w:num>
  <w:num w:numId="9">
    <w:abstractNumId w:val="24"/>
  </w:num>
  <w:num w:numId="10">
    <w:abstractNumId w:val="41"/>
  </w:num>
  <w:num w:numId="11">
    <w:abstractNumId w:val="12"/>
  </w:num>
  <w:num w:numId="12">
    <w:abstractNumId w:val="21"/>
  </w:num>
  <w:num w:numId="13">
    <w:abstractNumId w:val="22"/>
  </w:num>
  <w:num w:numId="14">
    <w:abstractNumId w:val="13"/>
  </w:num>
  <w:num w:numId="15">
    <w:abstractNumId w:val="31"/>
  </w:num>
  <w:num w:numId="16">
    <w:abstractNumId w:val="16"/>
  </w:num>
  <w:num w:numId="17">
    <w:abstractNumId w:val="34"/>
  </w:num>
  <w:num w:numId="18">
    <w:abstractNumId w:val="19"/>
  </w:num>
  <w:num w:numId="19">
    <w:abstractNumId w:val="40"/>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7"/>
  </w:num>
  <w:num w:numId="30">
    <w:abstractNumId w:val="10"/>
  </w:num>
  <w:num w:numId="31">
    <w:abstractNumId w:val="30"/>
  </w:num>
  <w:num w:numId="32">
    <w:abstractNumId w:val="33"/>
  </w:num>
  <w:num w:numId="33">
    <w:abstractNumId w:val="35"/>
  </w:num>
  <w:num w:numId="34">
    <w:abstractNumId w:val="9"/>
  </w:num>
  <w:num w:numId="35">
    <w:abstractNumId w:val="26"/>
  </w:num>
  <w:num w:numId="36">
    <w:abstractNumId w:val="3"/>
  </w:num>
  <w:num w:numId="37">
    <w:abstractNumId w:val="20"/>
  </w:num>
  <w:num w:numId="38">
    <w:abstractNumId w:val="43"/>
  </w:num>
  <w:num w:numId="39">
    <w:abstractNumId w:val="7"/>
  </w:num>
  <w:num w:numId="40">
    <w:abstractNumId w:val="4"/>
  </w:num>
  <w:num w:numId="41">
    <w:abstractNumId w:val="36"/>
  </w:num>
  <w:num w:numId="42">
    <w:abstractNumId w:val="44"/>
  </w:num>
  <w:num w:numId="43">
    <w:abstractNumId w:val="32"/>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5333"/>
    <w:rsid w:val="0004029A"/>
    <w:rsid w:val="000474E3"/>
    <w:rsid w:val="0006034E"/>
    <w:rsid w:val="00063783"/>
    <w:rsid w:val="00070C30"/>
    <w:rsid w:val="00073765"/>
    <w:rsid w:val="000929A6"/>
    <w:rsid w:val="000A3D87"/>
    <w:rsid w:val="000B5015"/>
    <w:rsid w:val="000B5EC2"/>
    <w:rsid w:val="000B788F"/>
    <w:rsid w:val="000B7C66"/>
    <w:rsid w:val="000D4E36"/>
    <w:rsid w:val="000E62FE"/>
    <w:rsid w:val="001020EC"/>
    <w:rsid w:val="00103268"/>
    <w:rsid w:val="00110EE9"/>
    <w:rsid w:val="001161E4"/>
    <w:rsid w:val="00125A26"/>
    <w:rsid w:val="001472A8"/>
    <w:rsid w:val="0015376F"/>
    <w:rsid w:val="001614E0"/>
    <w:rsid w:val="00171BD8"/>
    <w:rsid w:val="001744DA"/>
    <w:rsid w:val="0017653E"/>
    <w:rsid w:val="00182B01"/>
    <w:rsid w:val="001840D2"/>
    <w:rsid w:val="00195B09"/>
    <w:rsid w:val="001966D7"/>
    <w:rsid w:val="001C4D2E"/>
    <w:rsid w:val="001C7E35"/>
    <w:rsid w:val="001E3C06"/>
    <w:rsid w:val="001E7076"/>
    <w:rsid w:val="001F0037"/>
    <w:rsid w:val="001F0BE9"/>
    <w:rsid w:val="001F6455"/>
    <w:rsid w:val="00202D79"/>
    <w:rsid w:val="00205D2F"/>
    <w:rsid w:val="00215E8F"/>
    <w:rsid w:val="00215F48"/>
    <w:rsid w:val="00221A93"/>
    <w:rsid w:val="002322BB"/>
    <w:rsid w:val="00251254"/>
    <w:rsid w:val="002548D1"/>
    <w:rsid w:val="00256AC3"/>
    <w:rsid w:val="00266096"/>
    <w:rsid w:val="0027226C"/>
    <w:rsid w:val="0027283B"/>
    <w:rsid w:val="00273052"/>
    <w:rsid w:val="0028019B"/>
    <w:rsid w:val="00282E73"/>
    <w:rsid w:val="00283CAB"/>
    <w:rsid w:val="0028525A"/>
    <w:rsid w:val="002A3FEF"/>
    <w:rsid w:val="002A4BFE"/>
    <w:rsid w:val="002B54A6"/>
    <w:rsid w:val="002B7AA6"/>
    <w:rsid w:val="002E34D6"/>
    <w:rsid w:val="002E6C94"/>
    <w:rsid w:val="002E761F"/>
    <w:rsid w:val="002E7CF5"/>
    <w:rsid w:val="002F33D1"/>
    <w:rsid w:val="002F3EE9"/>
    <w:rsid w:val="00303F05"/>
    <w:rsid w:val="00307F76"/>
    <w:rsid w:val="00321ADB"/>
    <w:rsid w:val="00321FBB"/>
    <w:rsid w:val="003313EA"/>
    <w:rsid w:val="00333541"/>
    <w:rsid w:val="00333FAA"/>
    <w:rsid w:val="003355D7"/>
    <w:rsid w:val="0036201C"/>
    <w:rsid w:val="00376768"/>
    <w:rsid w:val="003D77B2"/>
    <w:rsid w:val="003F13D8"/>
    <w:rsid w:val="003F247C"/>
    <w:rsid w:val="003F2D77"/>
    <w:rsid w:val="003F3AFD"/>
    <w:rsid w:val="003F42D7"/>
    <w:rsid w:val="004076C8"/>
    <w:rsid w:val="00416F4C"/>
    <w:rsid w:val="004207E3"/>
    <w:rsid w:val="00421A4C"/>
    <w:rsid w:val="0042242C"/>
    <w:rsid w:val="004238C2"/>
    <w:rsid w:val="00435B5D"/>
    <w:rsid w:val="004363F7"/>
    <w:rsid w:val="00440606"/>
    <w:rsid w:val="0044525C"/>
    <w:rsid w:val="004553F1"/>
    <w:rsid w:val="00457BFE"/>
    <w:rsid w:val="00471C1F"/>
    <w:rsid w:val="004809FA"/>
    <w:rsid w:val="00482F97"/>
    <w:rsid w:val="004C4A75"/>
    <w:rsid w:val="004D2DA0"/>
    <w:rsid w:val="004E14A4"/>
    <w:rsid w:val="004F54BD"/>
    <w:rsid w:val="004F56C5"/>
    <w:rsid w:val="00506185"/>
    <w:rsid w:val="005354D0"/>
    <w:rsid w:val="0054172C"/>
    <w:rsid w:val="0054590F"/>
    <w:rsid w:val="005459EC"/>
    <w:rsid w:val="00561219"/>
    <w:rsid w:val="005718B5"/>
    <w:rsid w:val="005718C0"/>
    <w:rsid w:val="005808FB"/>
    <w:rsid w:val="005811F8"/>
    <w:rsid w:val="00582605"/>
    <w:rsid w:val="00591016"/>
    <w:rsid w:val="005B3F67"/>
    <w:rsid w:val="005B6DF5"/>
    <w:rsid w:val="005D0857"/>
    <w:rsid w:val="005D548F"/>
    <w:rsid w:val="005D6EF5"/>
    <w:rsid w:val="005E3A10"/>
    <w:rsid w:val="005E3B09"/>
    <w:rsid w:val="005E5328"/>
    <w:rsid w:val="005E7509"/>
    <w:rsid w:val="005F2DFB"/>
    <w:rsid w:val="00605A4C"/>
    <w:rsid w:val="006170C3"/>
    <w:rsid w:val="006232D3"/>
    <w:rsid w:val="00645B8B"/>
    <w:rsid w:val="00655044"/>
    <w:rsid w:val="006602F3"/>
    <w:rsid w:val="00666922"/>
    <w:rsid w:val="00670F17"/>
    <w:rsid w:val="006710C7"/>
    <w:rsid w:val="006821EA"/>
    <w:rsid w:val="00682D67"/>
    <w:rsid w:val="006868A8"/>
    <w:rsid w:val="00696A83"/>
    <w:rsid w:val="00697291"/>
    <w:rsid w:val="006C580A"/>
    <w:rsid w:val="006D1E69"/>
    <w:rsid w:val="006E6B36"/>
    <w:rsid w:val="006F057C"/>
    <w:rsid w:val="006F22DA"/>
    <w:rsid w:val="006F2EB3"/>
    <w:rsid w:val="00710386"/>
    <w:rsid w:val="007116B1"/>
    <w:rsid w:val="00713B04"/>
    <w:rsid w:val="00714BEE"/>
    <w:rsid w:val="00721215"/>
    <w:rsid w:val="007400CF"/>
    <w:rsid w:val="007754AC"/>
    <w:rsid w:val="00782A2D"/>
    <w:rsid w:val="00785279"/>
    <w:rsid w:val="007922B8"/>
    <w:rsid w:val="007A4DEA"/>
    <w:rsid w:val="007B23FC"/>
    <w:rsid w:val="007D0C1D"/>
    <w:rsid w:val="007D2000"/>
    <w:rsid w:val="007D4DBF"/>
    <w:rsid w:val="007E4732"/>
    <w:rsid w:val="007E4BA4"/>
    <w:rsid w:val="007F004E"/>
    <w:rsid w:val="007F296A"/>
    <w:rsid w:val="007F335A"/>
    <w:rsid w:val="00802A1A"/>
    <w:rsid w:val="00803104"/>
    <w:rsid w:val="00810B53"/>
    <w:rsid w:val="00812901"/>
    <w:rsid w:val="00826B9A"/>
    <w:rsid w:val="00842757"/>
    <w:rsid w:val="00843CC2"/>
    <w:rsid w:val="00847E4A"/>
    <w:rsid w:val="0085266D"/>
    <w:rsid w:val="008774F3"/>
    <w:rsid w:val="008A5AA0"/>
    <w:rsid w:val="008D5763"/>
    <w:rsid w:val="008E224D"/>
    <w:rsid w:val="008E5275"/>
    <w:rsid w:val="008E75D2"/>
    <w:rsid w:val="008F1B1E"/>
    <w:rsid w:val="00911A55"/>
    <w:rsid w:val="0092530B"/>
    <w:rsid w:val="009341A6"/>
    <w:rsid w:val="0094208C"/>
    <w:rsid w:val="00942F17"/>
    <w:rsid w:val="00942F58"/>
    <w:rsid w:val="00943236"/>
    <w:rsid w:val="00952CEF"/>
    <w:rsid w:val="00954606"/>
    <w:rsid w:val="00955421"/>
    <w:rsid w:val="009764B6"/>
    <w:rsid w:val="00990E9C"/>
    <w:rsid w:val="00994542"/>
    <w:rsid w:val="00994908"/>
    <w:rsid w:val="009B160B"/>
    <w:rsid w:val="009C237B"/>
    <w:rsid w:val="009E3191"/>
    <w:rsid w:val="009E5A93"/>
    <w:rsid w:val="009F3154"/>
    <w:rsid w:val="009F6A6A"/>
    <w:rsid w:val="00A1211C"/>
    <w:rsid w:val="00A20113"/>
    <w:rsid w:val="00A20D78"/>
    <w:rsid w:val="00A2215F"/>
    <w:rsid w:val="00A22839"/>
    <w:rsid w:val="00A22DB7"/>
    <w:rsid w:val="00A23E19"/>
    <w:rsid w:val="00A267B0"/>
    <w:rsid w:val="00A33185"/>
    <w:rsid w:val="00A535D2"/>
    <w:rsid w:val="00A53B04"/>
    <w:rsid w:val="00A661F4"/>
    <w:rsid w:val="00A66326"/>
    <w:rsid w:val="00A7271A"/>
    <w:rsid w:val="00A81BE3"/>
    <w:rsid w:val="00A81E19"/>
    <w:rsid w:val="00AB795F"/>
    <w:rsid w:val="00AC6312"/>
    <w:rsid w:val="00AD1E77"/>
    <w:rsid w:val="00AD6D80"/>
    <w:rsid w:val="00AF0A8A"/>
    <w:rsid w:val="00B1160D"/>
    <w:rsid w:val="00B24F41"/>
    <w:rsid w:val="00B273A8"/>
    <w:rsid w:val="00B444E6"/>
    <w:rsid w:val="00B52011"/>
    <w:rsid w:val="00B52A33"/>
    <w:rsid w:val="00B53EFF"/>
    <w:rsid w:val="00B54AFA"/>
    <w:rsid w:val="00B671A4"/>
    <w:rsid w:val="00B764C1"/>
    <w:rsid w:val="00B804E8"/>
    <w:rsid w:val="00BB2FEE"/>
    <w:rsid w:val="00BC206C"/>
    <w:rsid w:val="00BC431A"/>
    <w:rsid w:val="00C01A35"/>
    <w:rsid w:val="00C03772"/>
    <w:rsid w:val="00C04EDA"/>
    <w:rsid w:val="00C119A2"/>
    <w:rsid w:val="00C12BF3"/>
    <w:rsid w:val="00C222EE"/>
    <w:rsid w:val="00C57267"/>
    <w:rsid w:val="00C616FF"/>
    <w:rsid w:val="00C62B63"/>
    <w:rsid w:val="00C62CA9"/>
    <w:rsid w:val="00C72B5B"/>
    <w:rsid w:val="00C869F3"/>
    <w:rsid w:val="00CC18AC"/>
    <w:rsid w:val="00CD7D5D"/>
    <w:rsid w:val="00CF0621"/>
    <w:rsid w:val="00CF0FC4"/>
    <w:rsid w:val="00CF521C"/>
    <w:rsid w:val="00CF6932"/>
    <w:rsid w:val="00D01326"/>
    <w:rsid w:val="00D01FE3"/>
    <w:rsid w:val="00D0279D"/>
    <w:rsid w:val="00D0381E"/>
    <w:rsid w:val="00D06CA3"/>
    <w:rsid w:val="00D07F46"/>
    <w:rsid w:val="00D10394"/>
    <w:rsid w:val="00D170E5"/>
    <w:rsid w:val="00D3251D"/>
    <w:rsid w:val="00D37F2F"/>
    <w:rsid w:val="00D415B9"/>
    <w:rsid w:val="00D41F10"/>
    <w:rsid w:val="00D528E8"/>
    <w:rsid w:val="00D53922"/>
    <w:rsid w:val="00D6265C"/>
    <w:rsid w:val="00D771D0"/>
    <w:rsid w:val="00D835CF"/>
    <w:rsid w:val="00DA26FB"/>
    <w:rsid w:val="00DA36BE"/>
    <w:rsid w:val="00DB6C3D"/>
    <w:rsid w:val="00DC0670"/>
    <w:rsid w:val="00DC485C"/>
    <w:rsid w:val="00DC5ACF"/>
    <w:rsid w:val="00DD3573"/>
    <w:rsid w:val="00DD4B9E"/>
    <w:rsid w:val="00DD7468"/>
    <w:rsid w:val="00DE25E9"/>
    <w:rsid w:val="00DE71D3"/>
    <w:rsid w:val="00DE72CF"/>
    <w:rsid w:val="00DF08A0"/>
    <w:rsid w:val="00DF4C6A"/>
    <w:rsid w:val="00E05423"/>
    <w:rsid w:val="00E13BEF"/>
    <w:rsid w:val="00E5763E"/>
    <w:rsid w:val="00E70760"/>
    <w:rsid w:val="00E9253C"/>
    <w:rsid w:val="00EB3CF0"/>
    <w:rsid w:val="00EB45B5"/>
    <w:rsid w:val="00EB5E57"/>
    <w:rsid w:val="00EB61DB"/>
    <w:rsid w:val="00EC44C5"/>
    <w:rsid w:val="00ED07C4"/>
    <w:rsid w:val="00ED1AD0"/>
    <w:rsid w:val="00ED4AFD"/>
    <w:rsid w:val="00ED6776"/>
    <w:rsid w:val="00EE4FBE"/>
    <w:rsid w:val="00F038A1"/>
    <w:rsid w:val="00F06E4E"/>
    <w:rsid w:val="00F12538"/>
    <w:rsid w:val="00F51E01"/>
    <w:rsid w:val="00F5649A"/>
    <w:rsid w:val="00F656BD"/>
    <w:rsid w:val="00F67DC5"/>
    <w:rsid w:val="00F771C8"/>
    <w:rsid w:val="00F82342"/>
    <w:rsid w:val="00F877DB"/>
    <w:rsid w:val="00F91AE4"/>
    <w:rsid w:val="00F93C8B"/>
    <w:rsid w:val="00F959DD"/>
    <w:rsid w:val="00F960D5"/>
    <w:rsid w:val="00FA05E4"/>
    <w:rsid w:val="00FB1231"/>
    <w:rsid w:val="00FB1C6A"/>
    <w:rsid w:val="00FB44B5"/>
    <w:rsid w:val="00FC1C5C"/>
    <w:rsid w:val="00FD01AC"/>
    <w:rsid w:val="00FE17E2"/>
    <w:rsid w:val="00FE18EE"/>
    <w:rsid w:val="00FE2561"/>
    <w:rsid w:val="00FF3513"/>
    <w:rsid w:val="00FF42F1"/>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87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n.wai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F1F13-5048-47D4-9373-BD271897B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386D29-9BAD-4EDD-B580-43CB4CD8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829</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5350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4</cp:revision>
  <cp:lastPrinted>2014-10-31T16:34:00Z</cp:lastPrinted>
  <dcterms:created xsi:type="dcterms:W3CDTF">2020-12-15T18:14:00Z</dcterms:created>
  <dcterms:modified xsi:type="dcterms:W3CDTF">2020-12-16T11:19:00Z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